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Healthcare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w:t>
      </w:r>
      <w:r>
        <w:rPr>
          <w:rFonts w:ascii="Times New Roman" w:cs="Times New Roman" w:hAnsi="Times New Roman"/>
          <w:sz w:val="24"/>
          <w:szCs w:val="24"/>
        </w:rPr>
        <w:t xml:space="preserve">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PART 1</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Healthcare</w:t>
      </w:r>
    </w:p>
    <w:p>
      <w:pPr>
        <w:pStyle w:val="style179"/>
        <w:numPr>
          <w:ilvl w:val="0"/>
          <w:numId w:val="1"/>
        </w:numPr>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Framework </w:t>
      </w:r>
      <w:r>
        <w:rPr>
          <w:rFonts w:ascii="Times New Roman" w:cs="Times New Roman" w:hAnsi="Times New Roman"/>
          <w:b/>
          <w:sz w:val="24"/>
          <w:szCs w:val="24"/>
        </w:rPr>
        <w:t>For Ethical Decision Making</w:t>
      </w:r>
    </w:p>
    <w:p>
      <w:pPr>
        <w:pStyle w:val="style0"/>
        <w:spacing w:after="0" w:lineRule="auto" w:line="480"/>
        <w:ind w:firstLine="36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It takes six steps for a person to make ethical decisions to solve a healthcare dilemma. The steps include:</w:t>
      </w:r>
    </w:p>
    <w:p>
      <w:pPr>
        <w:pStyle w:val="style0"/>
        <w:numPr>
          <w:ilvl w:val="0"/>
          <w:numId w:val="6"/>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Identifying the background of the conflict. It means that a health care professional needs to recognize the origin of the conflict so that he or she can come up with ways of handling the situation. E.g., plastic surgery for a teen.</w:t>
      </w:r>
    </w:p>
    <w:p>
      <w:pPr>
        <w:pStyle w:val="style0"/>
        <w:numPr>
          <w:ilvl w:val="0"/>
          <w:numId w:val="6"/>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Identify the ethical area which the conflict affects. e.g., the health effect of the plastic surgery on the teen.</w:t>
      </w:r>
    </w:p>
    <w:p>
      <w:pPr>
        <w:pStyle w:val="style0"/>
        <w:numPr>
          <w:ilvl w:val="0"/>
          <w:numId w:val="6"/>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Consider other ethical principles that relate to the situation at hand. </w:t>
      </w:r>
    </w:p>
    <w:p>
      <w:pPr>
        <w:pStyle w:val="style0"/>
        <w:numPr>
          <w:ilvl w:val="0"/>
          <w:numId w:val="6"/>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Determine the possible responses to the dilemma. The professional should weigh out different options for their benefits and disadvantages (Ethics Toolkit </w:t>
      </w:r>
      <w:r>
        <w:rPr>
          <w:rFonts w:ascii="Times New Roman" w:cs="Times New Roman" w:eastAsia="Times New Roman" w:hAnsi="Times New Roman"/>
          <w:color w:val="1c1e29"/>
          <w:sz w:val="24"/>
          <w:szCs w:val="24"/>
          <w:lang w:eastAsia="en-CA"/>
        </w:rPr>
        <w:t>n.d</w:t>
      </w:r>
      <w:r>
        <w:rPr>
          <w:rFonts w:ascii="Times New Roman" w:cs="Times New Roman" w:eastAsia="Times New Roman" w:hAnsi="Times New Roman"/>
          <w:color w:val="1c1e29"/>
          <w:sz w:val="24"/>
          <w:szCs w:val="24"/>
          <w:lang w:eastAsia="en-CA"/>
        </w:rPr>
        <w:t>).</w:t>
      </w:r>
    </w:p>
    <w:p>
      <w:pPr>
        <w:pStyle w:val="style0"/>
        <w:numPr>
          <w:ilvl w:val="0"/>
          <w:numId w:val="6"/>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Recommend the best option. The option that out ways the others should be adopted as a response.</w:t>
      </w:r>
    </w:p>
    <w:p>
      <w:pPr>
        <w:pStyle w:val="style0"/>
        <w:numPr>
          <w:ilvl w:val="0"/>
          <w:numId w:val="6"/>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Solve the ethical dilemma. With the adoption of the best response, healthcare professionals should apply it to solve the ethical dilemma (Ethics Toolkit </w:t>
      </w:r>
      <w:r>
        <w:rPr>
          <w:rFonts w:ascii="Times New Roman" w:cs="Times New Roman" w:eastAsia="Times New Roman" w:hAnsi="Times New Roman"/>
          <w:color w:val="1c1e29"/>
          <w:sz w:val="24"/>
          <w:szCs w:val="24"/>
          <w:lang w:eastAsia="en-CA"/>
        </w:rPr>
        <w:t>n.d</w:t>
      </w:r>
      <w:r>
        <w:rPr>
          <w:rFonts w:ascii="Times New Roman" w:cs="Times New Roman" w:eastAsia="Times New Roman" w:hAnsi="Times New Roman"/>
          <w:color w:val="1c1e29"/>
          <w:sz w:val="24"/>
          <w:szCs w:val="24"/>
          <w:lang w:eastAsia="en-CA"/>
        </w:rPr>
        <w:t>).</w:t>
      </w:r>
    </w:p>
    <w:p>
      <w:pPr>
        <w:pStyle w:val="style0"/>
        <w:spacing w:after="0" w:lineRule="auto" w:line="480"/>
        <w:ind w:firstLine="360"/>
        <w:jc w:val="both"/>
        <w:rPr>
          <w:rFonts w:ascii="Times New Roman" w:cs="Times New Roman" w:eastAsia="Times New Roman" w:hAnsi="Times New Roman"/>
          <w:color w:val="1c1e29"/>
          <w:sz w:val="24"/>
          <w:szCs w:val="24"/>
          <w:highlight w:val="yellow"/>
          <w:lang w:eastAsia="en-CA"/>
        </w:rPr>
      </w:pPr>
      <w:r>
        <w:rPr>
          <w:rFonts w:ascii="Times New Roman" w:cs="Times New Roman" w:eastAsia="Times New Roman" w:hAnsi="Times New Roman"/>
          <w:color w:val="1c1e29"/>
          <w:sz w:val="24"/>
          <w:szCs w:val="24"/>
          <w:highlight w:val="yellow"/>
          <w:lang w:eastAsia="en-CA"/>
        </w:rPr>
        <w:t>There is always a need for additional monitoring in the healthcare work setting. As a professional doctor, there are codes of ethics that direct me, but still, healthcare management keeps track of my competence in dealing with medical matters</w:t>
      </w:r>
      <w:r>
        <w:rPr>
          <w:rFonts w:ascii="Times New Roman" w:cs="Times New Roman" w:eastAsia="Times New Roman" w:hAnsi="Times New Roman"/>
          <w:color w:val="1c1e29"/>
          <w:sz w:val="24"/>
          <w:szCs w:val="24"/>
          <w:highlight w:val="yellow"/>
          <w:lang w:eastAsia="en-CA"/>
        </w:rPr>
        <w:t xml:space="preserve"> (Ethics Toolkit </w:t>
      </w:r>
      <w:r>
        <w:rPr>
          <w:rFonts w:ascii="Times New Roman" w:cs="Times New Roman" w:eastAsia="Times New Roman" w:hAnsi="Times New Roman"/>
          <w:color w:val="1c1e29"/>
          <w:sz w:val="24"/>
          <w:szCs w:val="24"/>
          <w:highlight w:val="yellow"/>
          <w:lang w:eastAsia="en-CA"/>
        </w:rPr>
        <w:t>n.d</w:t>
      </w:r>
      <w:r>
        <w:rPr>
          <w:rFonts w:ascii="Times New Roman" w:cs="Times New Roman" w:eastAsia="Times New Roman" w:hAnsi="Times New Roman"/>
          <w:color w:val="1c1e29"/>
          <w:sz w:val="24"/>
          <w:szCs w:val="24"/>
          <w:highlight w:val="yellow"/>
          <w:lang w:eastAsia="en-CA"/>
        </w:rPr>
        <w:t>).</w:t>
      </w:r>
      <w:r>
        <w:rPr>
          <w:rFonts w:ascii="Times New Roman" w:cs="Times New Roman" w:eastAsia="Times New Roman" w:hAnsi="Times New Roman"/>
          <w:color w:val="1c1e29"/>
          <w:sz w:val="24"/>
          <w:szCs w:val="24"/>
          <w:highlight w:val="yellow"/>
          <w:lang w:eastAsia="en-CA"/>
        </w:rPr>
        <w:t>. The monitoring exercise entails:</w:t>
      </w:r>
    </w:p>
    <w:p>
      <w:pPr>
        <w:pStyle w:val="style0"/>
        <w:numPr>
          <w:ilvl w:val="0"/>
          <w:numId w:val="8"/>
        </w:numPr>
        <w:spacing w:after="0" w:lineRule="auto" w:line="480"/>
        <w:jc w:val="both"/>
        <w:rPr>
          <w:rFonts w:ascii="Times New Roman" w:cs="Times New Roman" w:eastAsia="Times New Roman" w:hAnsi="Times New Roman"/>
          <w:color w:val="1c1e29"/>
          <w:sz w:val="24"/>
          <w:szCs w:val="24"/>
          <w:highlight w:val="yellow"/>
          <w:lang w:eastAsia="en-CA"/>
        </w:rPr>
      </w:pPr>
      <w:r>
        <w:rPr>
          <w:rFonts w:ascii="Times New Roman" w:cs="Times New Roman" w:eastAsia="Times New Roman" w:hAnsi="Times New Roman"/>
          <w:color w:val="1c1e29"/>
          <w:sz w:val="24"/>
          <w:szCs w:val="24"/>
          <w:highlight w:val="yellow"/>
          <w:lang w:eastAsia="en-CA"/>
        </w:rPr>
        <w:t>ensuring that my health and the health of other workers are protected</w:t>
      </w:r>
    </w:p>
    <w:p>
      <w:pPr>
        <w:pStyle w:val="style0"/>
        <w:numPr>
          <w:ilvl w:val="0"/>
          <w:numId w:val="8"/>
        </w:numPr>
        <w:spacing w:after="0" w:lineRule="auto" w:line="480"/>
        <w:jc w:val="both"/>
        <w:rPr>
          <w:rFonts w:ascii="Times New Roman" w:cs="Times New Roman" w:eastAsia="Times New Roman" w:hAnsi="Times New Roman"/>
          <w:color w:val="1c1e29"/>
          <w:sz w:val="24"/>
          <w:szCs w:val="24"/>
          <w:highlight w:val="yellow"/>
          <w:lang w:eastAsia="en-CA"/>
        </w:rPr>
      </w:pPr>
      <w:r>
        <w:rPr>
          <w:rFonts w:ascii="Times New Roman" w:cs="Times New Roman" w:eastAsia="Times New Roman" w:hAnsi="Times New Roman"/>
          <w:color w:val="1c1e29"/>
          <w:sz w:val="24"/>
          <w:szCs w:val="24"/>
          <w:highlight w:val="yellow"/>
          <w:lang w:eastAsia="en-CA"/>
        </w:rPr>
        <w:t>ensuring that the decisions made about the health of patients are ethical</w:t>
      </w:r>
    </w:p>
    <w:p>
      <w:pPr>
        <w:pStyle w:val="style0"/>
        <w:numPr>
          <w:ilvl w:val="0"/>
          <w:numId w:val="8"/>
        </w:numPr>
        <w:spacing w:after="0" w:lineRule="auto" w:line="480"/>
        <w:jc w:val="both"/>
        <w:rPr>
          <w:rFonts w:ascii="Times New Roman" w:cs="Times New Roman" w:eastAsia="Times New Roman" w:hAnsi="Times New Roman"/>
          <w:color w:val="1c1e29"/>
          <w:sz w:val="24"/>
          <w:szCs w:val="24"/>
          <w:highlight w:val="yellow"/>
          <w:lang w:eastAsia="en-CA"/>
        </w:rPr>
      </w:pPr>
      <w:r>
        <w:rPr>
          <w:rFonts w:ascii="Times New Roman" w:cs="Times New Roman" w:eastAsia="Times New Roman" w:hAnsi="Times New Roman"/>
          <w:color w:val="1c1e29"/>
          <w:sz w:val="24"/>
          <w:szCs w:val="24"/>
          <w:highlight w:val="yellow"/>
          <w:lang w:eastAsia="en-CA"/>
        </w:rPr>
        <w:t>ensuring that there is no concentration of airborne chemicals in the workplace and if it is present, skilled personnel should perform the treatment, and</w:t>
      </w:r>
    </w:p>
    <w:p>
      <w:pPr>
        <w:pStyle w:val="style0"/>
        <w:numPr>
          <w:ilvl w:val="0"/>
          <w:numId w:val="8"/>
        </w:numPr>
        <w:spacing w:after="0" w:lineRule="auto" w:line="480"/>
        <w:jc w:val="both"/>
        <w:rPr>
          <w:rFonts w:ascii="Times New Roman" w:cs="Times New Roman" w:eastAsia="Times New Roman" w:hAnsi="Times New Roman"/>
          <w:color w:val="1c1e29"/>
          <w:sz w:val="24"/>
          <w:szCs w:val="24"/>
          <w:highlight w:val="yellow"/>
          <w:lang w:eastAsia="en-CA"/>
        </w:rPr>
      </w:pPr>
      <w:r>
        <w:rPr>
          <w:rFonts w:ascii="Times New Roman" w:cs="Times New Roman" w:eastAsia="Times New Roman" w:hAnsi="Times New Roman"/>
          <w:color w:val="1c1e29"/>
          <w:sz w:val="24"/>
          <w:szCs w:val="24"/>
          <w:highlight w:val="yellow"/>
          <w:lang w:eastAsia="en-CA"/>
        </w:rPr>
        <w:t>providing disease prevention measures are observed</w:t>
      </w:r>
    </w:p>
    <w:p>
      <w:pPr>
        <w:pStyle w:val="style0"/>
        <w:spacing w:after="0" w:lineRule="auto" w:line="480"/>
        <w:ind w:firstLine="36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highlight w:val="yellow"/>
          <w:lang w:eastAsia="en-CA"/>
        </w:rPr>
        <w:t>The management should make sure that any changes that pertain to process, materials, equipment, and work need a lot of considerations. Therefore, the healthcare environment needs monitoring</w:t>
      </w:r>
      <w:r>
        <w:rPr>
          <w:rFonts w:ascii="Times New Roman" w:cs="Times New Roman" w:eastAsia="Times New Roman" w:hAnsi="Times New Roman"/>
          <w:color w:val="1c1e29"/>
          <w:sz w:val="24"/>
          <w:szCs w:val="24"/>
          <w:highlight w:val="yellow"/>
          <w:lang w:eastAsia="en-CA"/>
        </w:rPr>
        <w:t xml:space="preserve"> (Ethics Toolkit </w:t>
      </w:r>
      <w:r>
        <w:rPr>
          <w:rFonts w:ascii="Times New Roman" w:cs="Times New Roman" w:eastAsia="Times New Roman" w:hAnsi="Times New Roman"/>
          <w:color w:val="1c1e29"/>
          <w:sz w:val="24"/>
          <w:szCs w:val="24"/>
          <w:highlight w:val="yellow"/>
          <w:lang w:eastAsia="en-CA"/>
        </w:rPr>
        <w:t>n.d</w:t>
      </w:r>
      <w:r>
        <w:rPr>
          <w:rFonts w:ascii="Times New Roman" w:cs="Times New Roman" w:eastAsia="Times New Roman" w:hAnsi="Times New Roman"/>
          <w:color w:val="1c1e29"/>
          <w:sz w:val="24"/>
          <w:szCs w:val="24"/>
          <w:highlight w:val="yellow"/>
          <w:lang w:eastAsia="en-CA"/>
        </w:rPr>
        <w:t>)</w:t>
      </w:r>
      <w:r>
        <w:rPr>
          <w:rFonts w:ascii="Times New Roman" w:cs="Times New Roman" w:eastAsia="Times New Roman" w:hAnsi="Times New Roman"/>
          <w:color w:val="1c1e29"/>
          <w:sz w:val="24"/>
          <w:szCs w:val="24"/>
          <w:highlight w:val="yellow"/>
          <w:lang w:eastAsia="en-CA"/>
        </w:rPr>
        <w:t>.</w:t>
      </w:r>
      <w:r>
        <w:rPr>
          <w:rFonts w:ascii="Times New Roman" w:cs="Times New Roman" w:eastAsia="Times New Roman" w:hAnsi="Times New Roman"/>
          <w:color w:val="1c1e29"/>
          <w:sz w:val="24"/>
          <w:szCs w:val="24"/>
          <w:highlight w:val="yellow"/>
          <w:lang w:eastAsia="en-CA"/>
        </w:rPr>
        <w:t>.</w:t>
      </w:r>
    </w:p>
    <w:p>
      <w:pPr>
        <w:pStyle w:val="style0"/>
        <w:spacing w:after="0" w:lineRule="auto" w:line="480"/>
        <w:jc w:val="both"/>
        <w:rPr>
          <w:rFonts w:ascii="Times New Roman" w:cs="Times New Roman" w:eastAsia="Times New Roman" w:hAnsi="Times New Roman"/>
          <w:color w:val="1c1e29"/>
          <w:sz w:val="24"/>
          <w:szCs w:val="24"/>
          <w:lang w:eastAsia="en-CA"/>
        </w:rPr>
      </w:pPr>
    </w:p>
    <w:p>
      <w:pPr>
        <w:pStyle w:val="style179"/>
        <w:numPr>
          <w:ilvl w:val="0"/>
          <w:numId w:val="1"/>
        </w:numPr>
        <w:spacing w:after="0" w:lineRule="auto" w:line="480"/>
        <w:jc w:val="center"/>
        <w:rPr>
          <w:rFonts w:ascii="Times New Roman" w:cs="Times New Roman" w:eastAsia="Times New Roman" w:hAnsi="Times New Roman"/>
          <w:b/>
          <w:color w:val="1c1e29"/>
          <w:sz w:val="24"/>
          <w:szCs w:val="24"/>
          <w:lang w:eastAsia="en-CA"/>
        </w:rPr>
      </w:pPr>
      <w:r>
        <w:rPr>
          <w:rFonts w:ascii="Times New Roman" w:cs="Times New Roman" w:eastAsia="Times New Roman" w:hAnsi="Times New Roman"/>
          <w:b/>
          <w:color w:val="1c1e29"/>
          <w:sz w:val="24"/>
          <w:szCs w:val="24"/>
          <w:lang w:eastAsia="en-CA"/>
        </w:rPr>
        <w:t xml:space="preserve">Technology </w:t>
      </w:r>
      <w:r>
        <w:rPr>
          <w:rFonts w:ascii="Times New Roman" w:cs="Times New Roman" w:eastAsia="Times New Roman" w:hAnsi="Times New Roman"/>
          <w:b/>
          <w:color w:val="1c1e29"/>
          <w:sz w:val="24"/>
          <w:szCs w:val="24"/>
          <w:lang w:eastAsia="en-CA"/>
        </w:rPr>
        <w:t xml:space="preserve">In </w:t>
      </w:r>
      <w:r>
        <w:rPr>
          <w:rFonts w:ascii="Times New Roman" w:cs="Times New Roman" w:eastAsia="Times New Roman" w:hAnsi="Times New Roman"/>
          <w:b/>
          <w:color w:val="1c1e29"/>
          <w:sz w:val="24"/>
          <w:szCs w:val="24"/>
          <w:lang w:eastAsia="en-CA"/>
        </w:rPr>
        <w:t>Healthcare</w:t>
      </w:r>
    </w:p>
    <w:p>
      <w:pPr>
        <w:pStyle w:val="style0"/>
        <w:spacing w:after="0" w:lineRule="auto" w:line="480"/>
        <w:ind w:firstLine="36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The contemporary healthcare facilities benefit from advanced technology in medicine and medication. For instance, doctors and patients are able to communicate while they are geographically separated. Telecommunication brings about effective consultation with patients who are far. Also, the use of videos facilitates the communication of health information between patients and doctors (Li et al., 2017). Also, the technology of motion pictures contributes to video conferences, which help people to save money and time they could use for traveling long distances.</w:t>
      </w:r>
    </w:p>
    <w:p>
      <w:pPr>
        <w:pStyle w:val="style0"/>
        <w:spacing w:after="0" w:lineRule="auto" w:line="480"/>
        <w:ind w:firstLine="36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Another commonly used technology in healthcare operations is mobile devices. The physicians are able to access information about medicine through the phone or laptops (Li et al., 2017). They research about drugs and retrieve information about a patient’s history. The technology of CT scans and x- rays help medical officers to identify the health problems of their patients.</w:t>
      </w:r>
    </w:p>
    <w:p>
      <w:pPr>
        <w:pStyle w:val="style179"/>
        <w:numPr>
          <w:ilvl w:val="0"/>
          <w:numId w:val="1"/>
        </w:numPr>
        <w:spacing w:after="0" w:lineRule="auto" w:line="480"/>
        <w:jc w:val="center"/>
        <w:rPr>
          <w:rFonts w:ascii="Times New Roman" w:cs="Times New Roman" w:eastAsia="Times New Roman" w:hAnsi="Times New Roman"/>
          <w:b/>
          <w:color w:val="1c1e29"/>
          <w:sz w:val="24"/>
          <w:szCs w:val="24"/>
          <w:lang w:eastAsia="en-CA"/>
        </w:rPr>
      </w:pPr>
      <w:r>
        <w:rPr>
          <w:rFonts w:ascii="Times New Roman" w:cs="Times New Roman" w:eastAsia="Times New Roman" w:hAnsi="Times New Roman"/>
          <w:b/>
          <w:color w:val="1c1e29"/>
          <w:sz w:val="24"/>
          <w:szCs w:val="24"/>
          <w:lang w:eastAsia="en-CA"/>
        </w:rPr>
        <w:t xml:space="preserve">Health </w:t>
      </w:r>
      <w:r>
        <w:rPr>
          <w:rFonts w:ascii="Times New Roman" w:cs="Times New Roman" w:eastAsia="Times New Roman" w:hAnsi="Times New Roman"/>
          <w:b/>
          <w:color w:val="1c1e29"/>
          <w:sz w:val="24"/>
          <w:szCs w:val="24"/>
          <w:lang w:eastAsia="en-CA"/>
        </w:rPr>
        <w:t>People Initiative</w:t>
      </w:r>
    </w:p>
    <w:p>
      <w:pPr>
        <w:pStyle w:val="style0"/>
        <w:spacing w:after="0" w:lineRule="auto" w:line="480"/>
        <w:ind w:firstLine="36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Health people, initiative purposes to create a disease-free- community. Although it is hard for people to eradicate diseases, their activities significantly reduce </w:t>
      </w:r>
      <w:r>
        <w:rPr>
          <w:rFonts w:ascii="Times New Roman" w:cs="Times New Roman" w:eastAsia="Times New Roman" w:hAnsi="Times New Roman"/>
          <w:color w:val="1c1e29"/>
          <w:sz w:val="24"/>
          <w:szCs w:val="24"/>
          <w:lang w:eastAsia="en-CA"/>
        </w:rPr>
        <w:t>heath</w:t>
      </w:r>
      <w:r>
        <w:rPr>
          <w:rFonts w:ascii="Times New Roman" w:cs="Times New Roman" w:eastAsia="Times New Roman" w:hAnsi="Times New Roman"/>
          <w:color w:val="1c1e29"/>
          <w:sz w:val="24"/>
          <w:szCs w:val="24"/>
          <w:lang w:eastAsia="en-CA"/>
        </w:rPr>
        <w:t xml:space="preserve"> issues among community members (Levine et al., 2016). Communities embrace heath practices in various places like workplaces, schools, and homes. Some of the things that people use to fight heath issues include taking screening tests, doing exercises, immunization, a healthy diet, and visiting doctors whenever a person falls sick. By doing so, the mortality rate reduces, and therefore, the number of people in the community increases. </w:t>
      </w:r>
    </w:p>
    <w:p>
      <w:pPr>
        <w:pStyle w:val="style0"/>
        <w:spacing w:after="0" w:lineRule="auto" w:line="480"/>
        <w:ind w:firstLine="36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Also noteworthy is that heath people's initiatives bring people together through social interactions and interpersonal friendships (Levine et al., 2016). The action is nationally based and does not discriminate. All people get medical services and information regardless of their gender, race, religion, etc.</w:t>
      </w:r>
    </w:p>
    <w:p>
      <w:pPr>
        <w:pStyle w:val="style0"/>
        <w:spacing w:after="0" w:lineRule="auto" w:line="480"/>
        <w:ind w:firstLine="360"/>
        <w:jc w:val="both"/>
        <w:rPr>
          <w:rFonts w:ascii="Times New Roman" w:cs="Times New Roman" w:hAnsi="Times New Roman"/>
          <w:sz w:val="24"/>
          <w:szCs w:val="24"/>
        </w:rPr>
      </w:pPr>
      <w:r>
        <w:rPr>
          <w:rFonts w:ascii="Times New Roman" w:cs="Times New Roman" w:hAnsi="Times New Roman"/>
          <w:sz w:val="24"/>
          <w:szCs w:val="24"/>
        </w:rPr>
        <w:t>Framework for Ethical Decision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disease prevention at times raises difficult ethical questions. Ethical health frameworks can be useful in examining policies for disease prevention. The first one would be to educate the people on the underlying diseases. For instance we can let the people know, which diets are healthy, the importance of screening, and why they should regularly visit a doctor. We can then potentially reduce mortality rates, with the practice mentioned above. We need to mobilize the community partnerships when it comes to the health services. The community has to identify, which organizations that that they have to collaborate with to better the health of its people.  They could embrace non-governmental organizations such as the, Doctors without Borders, governmental organization, and private sectors. Lately, the public hospitals offers clinic for free cancer screening, which happens to be a government project. Such projects can only be successful if the community embraces them.</w:t>
      </w:r>
    </w:p>
    <w:p>
      <w:pPr>
        <w:pStyle w:val="style0"/>
        <w:spacing w:after="0" w:lineRule="auto" w:line="480"/>
        <w:ind w:firstLine="360"/>
        <w:jc w:val="both"/>
        <w:rPr>
          <w:rFonts w:ascii="Times New Roman" w:cs="Times New Roman" w:eastAsia="Times New Roman" w:hAnsi="Times New Roman"/>
          <w:color w:val="1c1e29"/>
          <w:sz w:val="24"/>
          <w:szCs w:val="24"/>
          <w:lang w:eastAsia="en-CA"/>
        </w:rPr>
      </w:pPr>
    </w:p>
    <w:bookmarkStart w:id="0" w:name="_GoBack"/>
    <w:bookmarkEnd w:id="0"/>
    <w:p>
      <w:pPr>
        <w:pStyle w:val="style0"/>
        <w:spacing w:lineRule="auto" w:line="480"/>
        <w:jc w:val="both"/>
        <w:rPr>
          <w:rFonts w:ascii="Times New Roman" w:cs="Times New Roman" w:eastAsia="Times New Roman" w:hAnsi="Times New Roman"/>
          <w:color w:val="1c1e29"/>
          <w:sz w:val="24"/>
          <w:szCs w:val="24"/>
          <w:lang w:eastAsia="en-CA"/>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Ethics Toolkit.</w:t>
      </w:r>
      <w:r>
        <w:rPr>
          <w:rFonts w:ascii="Times New Roman" w:cs="Times New Roman" w:hAnsi="Times New Roman"/>
          <w:sz w:val="24"/>
          <w:szCs w:val="24"/>
        </w:rPr>
        <w:t xml:space="preserve"> http://www.ache.org/abt_ache/ethicstoolkit/ethicsTOC.cfm</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Levine, R. S., Foster, J. E., </w:t>
      </w:r>
      <w:r>
        <w:rPr>
          <w:rFonts w:ascii="Times New Roman" w:cs="Times New Roman" w:hAnsi="Times New Roman"/>
          <w:sz w:val="24"/>
          <w:szCs w:val="24"/>
        </w:rPr>
        <w:t>Fullilove</w:t>
      </w:r>
      <w:r>
        <w:rPr>
          <w:rFonts w:ascii="Times New Roman" w:cs="Times New Roman" w:hAnsi="Times New Roman"/>
          <w:sz w:val="24"/>
          <w:szCs w:val="24"/>
        </w:rPr>
        <w:t xml:space="preserve">, R. E., </w:t>
      </w:r>
      <w:r>
        <w:rPr>
          <w:rFonts w:ascii="Times New Roman" w:cs="Times New Roman" w:hAnsi="Times New Roman"/>
          <w:sz w:val="24"/>
          <w:szCs w:val="24"/>
        </w:rPr>
        <w:t>Fullilove</w:t>
      </w:r>
      <w:r>
        <w:rPr>
          <w:rFonts w:ascii="Times New Roman" w:cs="Times New Roman" w:hAnsi="Times New Roman"/>
          <w:sz w:val="24"/>
          <w:szCs w:val="24"/>
        </w:rPr>
        <w:t xml:space="preserve">, M. T., Briggs, N. C., Hull, P. C., ... &amp; </w:t>
      </w:r>
      <w:r>
        <w:rPr>
          <w:rFonts w:ascii="Times New Roman" w:cs="Times New Roman" w:hAnsi="Times New Roman"/>
          <w:sz w:val="24"/>
          <w:szCs w:val="24"/>
        </w:rPr>
        <w:t>Hennekens</w:t>
      </w:r>
      <w:r>
        <w:rPr>
          <w:rFonts w:ascii="Times New Roman" w:cs="Times New Roman" w:hAnsi="Times New Roman"/>
          <w:sz w:val="24"/>
          <w:szCs w:val="24"/>
        </w:rPr>
        <w:t>, C. H. (2016). Black-white inequalities in mortality and life expectancy, 1933–1999: implications for healthy people 2010. </w:t>
      </w:r>
      <w:r>
        <w:rPr>
          <w:rFonts w:ascii="Times New Roman" w:cs="Times New Roman" w:hAnsi="Times New Roman"/>
          <w:sz w:val="24"/>
          <w:szCs w:val="24"/>
        </w:rPr>
        <w:t>Public health reports.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Li, L., Yu, F., Shi, D., Shi, J., </w:t>
      </w:r>
      <w:r>
        <w:rPr>
          <w:rFonts w:ascii="Times New Roman" w:cs="Times New Roman" w:hAnsi="Times New Roman"/>
          <w:sz w:val="24"/>
          <w:szCs w:val="24"/>
        </w:rPr>
        <w:t>Tian</w:t>
      </w:r>
      <w:r>
        <w:rPr>
          <w:rFonts w:ascii="Times New Roman" w:cs="Times New Roman" w:hAnsi="Times New Roman"/>
          <w:sz w:val="24"/>
          <w:szCs w:val="24"/>
        </w:rPr>
        <w:t>, Z., Yang, J</w:t>
      </w:r>
      <w:r>
        <w:rPr>
          <w:rFonts w:ascii="Times New Roman" w:cs="Times New Roman" w:hAnsi="Times New Roman"/>
          <w:sz w:val="24"/>
          <w:szCs w:val="24"/>
        </w:rPr>
        <w:t>., ...</w:t>
      </w:r>
      <w:r>
        <w:rPr>
          <w:rFonts w:ascii="Times New Roman" w:cs="Times New Roman" w:hAnsi="Times New Roman"/>
          <w:sz w:val="24"/>
          <w:szCs w:val="24"/>
        </w:rPr>
        <w:t xml:space="preserve"> &amp; Jiang, Q. (2017). </w:t>
      </w:r>
      <w:r>
        <w:rPr>
          <w:rFonts w:ascii="Times New Roman" w:cs="Times New Roman" w:hAnsi="Times New Roman"/>
          <w:sz w:val="24"/>
          <w:szCs w:val="24"/>
        </w:rPr>
        <w:t>Application of virtual reality technology in clinical medicine.</w:t>
      </w:r>
      <w:r>
        <w:rPr>
          <w:rFonts w:ascii="Times New Roman" w:cs="Times New Roman" w:hAnsi="Times New Roman"/>
          <w:sz w:val="24"/>
          <w:szCs w:val="24"/>
        </w:rPr>
        <w:t> </w:t>
      </w:r>
      <w:r>
        <w:rPr>
          <w:rFonts w:ascii="Times New Roman" w:cs="Times New Roman" w:hAnsi="Times New Roman"/>
          <w:sz w:val="24"/>
          <w:szCs w:val="24"/>
        </w:rPr>
        <w:t>American journal of translational research, 9(9), 3867.</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HEALTHCARE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HEALTHCARE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BABA1BC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F514A7DC"/>
    <w:lvl w:ilvl="0" w:tplc="DF7C4D9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2"/>
    <w:multiLevelType w:val="multilevel"/>
    <w:tmpl w:val="922C378C"/>
    <w:lvl w:ilvl="0">
      <w:start w:val="1"/>
      <w:numFmt w:val="lowerLetter"/>
      <w:lvlText w:val="%1)"/>
      <w:lvlJc w:val="left"/>
      <w:pPr>
        <w:tabs>
          <w:tab w:val="left" w:leader="none" w:pos="720"/>
        </w:tabs>
        <w:ind w:left="720" w:hanging="360"/>
      </w:pPr>
      <w:rPr>
        <w:rFont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hybridMultilevel"/>
    <w:tmpl w:val="AE2EC99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0000004"/>
    <w:multiLevelType w:val="hybridMultilevel"/>
    <w:tmpl w:val="137A7D9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0000005"/>
    <w:multiLevelType w:val="multilevel"/>
    <w:tmpl w:val="B6F0B91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hybridMultilevel"/>
    <w:tmpl w:val="B276F37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0000007"/>
    <w:multiLevelType w:val="multilevel"/>
    <w:tmpl w:val="563837E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1"/>
  </w:num>
  <w:num w:numId="2">
    <w:abstractNumId w:val="7"/>
  </w:num>
  <w:num w:numId="3">
    <w:abstractNumId w:val="4"/>
  </w:num>
  <w:num w:numId="4">
    <w:abstractNumId w:val="6"/>
  </w:num>
  <w:num w:numId="5">
    <w:abstractNumId w:val="5"/>
  </w:num>
  <w:num w:numId="6">
    <w:abstractNumId w:val="2"/>
  </w:num>
  <w:num w:numId="7">
    <w:abstractNumId w:val="3"/>
  </w:num>
  <w:num w:numId="8">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fb774fd-91ec-4a12-aad7-a2db645bdea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d1eeec2-d30d-4b39-944d-5710d634318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808</Words>
  <Pages>5</Pages>
  <Characters>4599</Characters>
  <Application>WPS Office</Application>
  <DocSecurity>0</DocSecurity>
  <Paragraphs>52</Paragraphs>
  <ScaleCrop>false</ScaleCrop>
  <LinksUpToDate>false</LinksUpToDate>
  <CharactersWithSpaces>5603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2019-10-12T10:47:54Z</dcterms:created>
  <dc:creator>TECRA_M11</dc:creator>
  <lastModifiedBy>JKM-LX1</lastModifiedBy>
  <dcterms:modified xsi:type="dcterms:W3CDTF">2019-10-12T10:47:54Z</dcterms:modified>
  <revision>18</revision>
</coreProperties>
</file>

<file path=docProps/custom.xml><?xml version="1.0" encoding="utf-8"?>
<Properties xmlns="http://schemas.openxmlformats.org/officeDocument/2006/custom-properties" xmlns:vt="http://schemas.openxmlformats.org/officeDocument/2006/docPropsVTypes"/>
</file>